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C" w:rsidRDefault="00FF17C5" w:rsidP="00FF17C5">
      <w:pPr>
        <w:jc w:val="center"/>
        <w:rPr>
          <w:b/>
          <w:bCs/>
          <w:shd w:val="clear" w:color="auto" w:fill="FFFFFF"/>
        </w:rPr>
      </w:pPr>
      <w:proofErr w:type="spellStart"/>
      <w:r w:rsidRPr="00D33A4C">
        <w:rPr>
          <w:b/>
          <w:bCs/>
          <w:shd w:val="clear" w:color="auto" w:fill="FFFFFF"/>
        </w:rPr>
        <w:t>İcra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qurumları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və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onlar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tərəfindən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hərraca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çıxarılan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əmlaklar</w:t>
      </w:r>
      <w:proofErr w:type="spellEnd"/>
      <w:r w:rsidRPr="00D33A4C">
        <w:rPr>
          <w:b/>
          <w:bCs/>
          <w:shd w:val="clear" w:color="auto" w:fill="FFFFFF"/>
        </w:rPr>
        <w:t xml:space="preserve">, </w:t>
      </w:r>
      <w:proofErr w:type="spellStart"/>
      <w:r w:rsidRPr="00D33A4C">
        <w:rPr>
          <w:b/>
          <w:bCs/>
          <w:shd w:val="clear" w:color="auto" w:fill="FFFFFF"/>
        </w:rPr>
        <w:t>eləcə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də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dəyəri</w:t>
      </w:r>
      <w:proofErr w:type="spellEnd"/>
      <w:r w:rsidRPr="00D33A4C">
        <w:rPr>
          <w:b/>
          <w:bCs/>
          <w:shd w:val="clear" w:color="auto" w:fill="FFFFFF"/>
        </w:rPr>
        <w:t xml:space="preserve"> 500 </w:t>
      </w:r>
      <w:proofErr w:type="spellStart"/>
      <w:r w:rsidRPr="00D33A4C">
        <w:rPr>
          <w:b/>
          <w:bCs/>
          <w:shd w:val="clear" w:color="auto" w:fill="FFFFFF"/>
        </w:rPr>
        <w:t>manatdan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artıq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olmayan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daşınar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əmlakın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satışı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üzrə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ticarət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</w:p>
    <w:p w:rsidR="00FF17C5" w:rsidRPr="00D33A4C" w:rsidRDefault="00FF17C5" w:rsidP="00FF17C5">
      <w:pPr>
        <w:jc w:val="center"/>
        <w:rPr>
          <w:b/>
          <w:bCs/>
          <w:shd w:val="clear" w:color="auto" w:fill="FFFFFF"/>
        </w:rPr>
      </w:pPr>
      <w:proofErr w:type="spellStart"/>
      <w:proofErr w:type="gramStart"/>
      <w:r w:rsidRPr="00D33A4C">
        <w:rPr>
          <w:b/>
          <w:bCs/>
          <w:shd w:val="clear" w:color="auto" w:fill="FFFFFF"/>
        </w:rPr>
        <w:t>şəbəkələri</w:t>
      </w:r>
      <w:proofErr w:type="spellEnd"/>
      <w:proofErr w:type="gram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haqqında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məlumatın</w:t>
      </w:r>
      <w:proofErr w:type="spellEnd"/>
      <w:r w:rsidRPr="00D33A4C">
        <w:rPr>
          <w:b/>
          <w:bCs/>
          <w:shd w:val="clear" w:color="auto" w:fill="FFFFFF"/>
        </w:rPr>
        <w:t xml:space="preserve"> </w:t>
      </w:r>
      <w:proofErr w:type="spellStart"/>
      <w:r w:rsidRPr="00D33A4C">
        <w:rPr>
          <w:b/>
          <w:bCs/>
          <w:shd w:val="clear" w:color="auto" w:fill="FFFFFF"/>
        </w:rPr>
        <w:t>verilməsi</w:t>
      </w:r>
      <w:proofErr w:type="spellEnd"/>
    </w:p>
    <w:p w:rsidR="00FF17C5" w:rsidRPr="00D33A4C" w:rsidRDefault="00FF17C5" w:rsidP="00FF17C5">
      <w:pPr>
        <w:jc w:val="center"/>
        <w:rPr>
          <w:b/>
          <w:bCs/>
          <w:shd w:val="clear" w:color="auto" w:fill="FFFFFF"/>
        </w:rPr>
      </w:pPr>
    </w:p>
    <w:p w:rsidR="00FF17C5" w:rsidRPr="00D33A4C" w:rsidRDefault="00FF17C5" w:rsidP="00FF17C5">
      <w:pPr>
        <w:jc w:val="center"/>
      </w:pPr>
    </w:p>
    <w:p w:rsidR="00FF17C5" w:rsidRPr="00D33A4C" w:rsidRDefault="00FF17C5" w:rsidP="00D33A4C">
      <w:pPr>
        <w:jc w:val="both"/>
        <w:rPr>
          <w:b/>
          <w:bCs/>
          <w:shd w:val="clear" w:color="auto" w:fill="FFFFFF"/>
          <w:lang w:val="az-Latn-AZ"/>
        </w:rPr>
      </w:pPr>
      <w:r w:rsidRPr="00D33A4C">
        <w:rPr>
          <w:lang w:val="az-Latn-AZ"/>
        </w:rPr>
        <w:t xml:space="preserve">        Bu xidmət vasitəsilə vətəndaşlar </w:t>
      </w:r>
      <w:proofErr w:type="spellStart"/>
      <w:r w:rsidRPr="00D33A4C">
        <w:rPr>
          <w:color w:val="000000"/>
        </w:rPr>
        <w:t>Respublika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ərazisində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fəaliyyət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göstərən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icra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qurumlarının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dislokasiyası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xəritədə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yerləşmə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mövqeyi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məsul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şəxslər</w:t>
      </w:r>
      <w:proofErr w:type="spellEnd"/>
      <w:r w:rsidRPr="00D33A4C">
        <w:rPr>
          <w:color w:val="000000"/>
        </w:rPr>
        <w:t xml:space="preserve">, </w:t>
      </w:r>
      <w:proofErr w:type="spellStart"/>
      <w:r w:rsidR="00D33A4C">
        <w:rPr>
          <w:color w:val="000000"/>
        </w:rPr>
        <w:t>əlaqə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nömrələri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iş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günləri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və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saatları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məhkəmə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və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ya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digər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orqanın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qərarının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icrası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ilə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bağlı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üzərinə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həbs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qoyulmuş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və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müvafiq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qaydada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qiymətləndirilərək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satılması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üçün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hərraca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çıxarılmış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əmlakın</w:t>
      </w:r>
      <w:proofErr w:type="spellEnd"/>
      <w:r w:rsidRPr="00D33A4C">
        <w:rPr>
          <w:color w:val="000000"/>
        </w:rPr>
        <w:t xml:space="preserve"> tipi, </w:t>
      </w:r>
      <w:proofErr w:type="spellStart"/>
      <w:r w:rsidRPr="00D33A4C">
        <w:rPr>
          <w:color w:val="000000"/>
        </w:rPr>
        <w:t>adı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texniki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göstəriciləri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qiyməti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hərracdan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alınması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üçün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şərtlər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hərracın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keçiriləcəyi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yer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eləcə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də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dəyəri</w:t>
      </w:r>
      <w:proofErr w:type="spellEnd"/>
      <w:r w:rsidRPr="00D33A4C">
        <w:rPr>
          <w:color w:val="000000"/>
        </w:rPr>
        <w:t xml:space="preserve"> 500 </w:t>
      </w:r>
      <w:proofErr w:type="spellStart"/>
      <w:r w:rsidRPr="00D33A4C">
        <w:rPr>
          <w:color w:val="000000"/>
        </w:rPr>
        <w:t>manatdan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artıq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olmayan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daşınar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əmlaklarının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satışı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üzrə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ticarət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şəbəkələrinin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adları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məsul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şəxsləri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ünvanları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telefon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nömrələri</w:t>
      </w:r>
      <w:proofErr w:type="spellEnd"/>
      <w:r w:rsidRPr="00D33A4C">
        <w:rPr>
          <w:color w:val="000000"/>
        </w:rPr>
        <w:t xml:space="preserve">, </w:t>
      </w:r>
      <w:proofErr w:type="spellStart"/>
      <w:r w:rsidRPr="00D33A4C">
        <w:rPr>
          <w:color w:val="000000"/>
        </w:rPr>
        <w:t>iş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günləri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və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iş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saatları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barədə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ətraflı</w:t>
      </w:r>
      <w:proofErr w:type="spellEnd"/>
      <w:r w:rsidRPr="00D33A4C">
        <w:rPr>
          <w:color w:val="000000"/>
        </w:rPr>
        <w:t xml:space="preserve"> </w:t>
      </w:r>
      <w:proofErr w:type="spellStart"/>
      <w:r w:rsidRPr="00D33A4C">
        <w:rPr>
          <w:color w:val="000000"/>
        </w:rPr>
        <w:t>məlumatlar</w:t>
      </w:r>
      <w:proofErr w:type="spellEnd"/>
      <w:r w:rsidRPr="00D33A4C">
        <w:rPr>
          <w:bCs/>
          <w:shd w:val="clear" w:color="auto" w:fill="FFFFFF"/>
          <w:lang w:val="az-Latn-AZ"/>
        </w:rPr>
        <w:t xml:space="preserve"> əldə edə bilərlər.</w:t>
      </w:r>
    </w:p>
    <w:p w:rsidR="00FF17C5" w:rsidRPr="00D33A4C" w:rsidRDefault="00FF17C5" w:rsidP="00D33A4C">
      <w:pPr>
        <w:pStyle w:val="1"/>
        <w:spacing w:before="0" w:beforeAutospacing="0" w:after="120" w:afterAutospacing="0"/>
        <w:jc w:val="both"/>
        <w:rPr>
          <w:sz w:val="24"/>
          <w:szCs w:val="24"/>
          <w:lang w:val="az-Latn-AZ"/>
        </w:rPr>
      </w:pPr>
    </w:p>
    <w:p w:rsidR="00FF17C5" w:rsidRPr="00D33A4C" w:rsidRDefault="00B92C30" w:rsidP="00D33A4C">
      <w:pPr>
        <w:jc w:val="both"/>
        <w:rPr>
          <w:b/>
          <w:bCs/>
          <w:shd w:val="clear" w:color="auto" w:fill="FFFFFF"/>
          <w:lang w:val="az-Latn-AZ"/>
        </w:rPr>
      </w:pPr>
      <w:r w:rsidRPr="00D33A4C">
        <w:rPr>
          <w:lang w:val="az-Latn-AZ"/>
        </w:rPr>
        <w:t xml:space="preserve">     </w:t>
      </w:r>
      <w:r w:rsidR="00FF17C5" w:rsidRPr="00D33A4C">
        <w:rPr>
          <w:lang w:val="az-Latn-AZ"/>
        </w:rPr>
        <w:t>Bunun üçün “</w:t>
      </w:r>
      <w:hyperlink r:id="rId4" w:history="1">
        <w:r w:rsidR="00FF17C5" w:rsidRPr="00D33A4C">
          <w:rPr>
            <w:rStyle w:val="a3"/>
            <w:rFonts w:eastAsiaTheme="majorEastAsia"/>
            <w:color w:val="auto"/>
            <w:lang w:val="az-Latn-AZ"/>
          </w:rPr>
          <w:t>www.e-gov.az</w:t>
        </w:r>
      </w:hyperlink>
      <w:r w:rsidR="00FF17C5" w:rsidRPr="00D33A4C">
        <w:rPr>
          <w:lang w:val="az-Latn-AZ"/>
        </w:rPr>
        <w:t xml:space="preserve">” “Elektron Hökumət” portalına daxil olub, </w:t>
      </w:r>
      <w:r w:rsidR="00FF17C5" w:rsidRPr="00D33A4C">
        <w:rPr>
          <w:shd w:val="clear" w:color="auto" w:fill="FFFFFF"/>
          <w:lang w:val="az-Latn-AZ"/>
        </w:rPr>
        <w:t xml:space="preserve">Ədliyyə Nazirliyi </w:t>
      </w:r>
      <w:r w:rsidR="00FF17C5" w:rsidRPr="00D33A4C">
        <w:rPr>
          <w:lang w:val="az-Latn-AZ"/>
        </w:rPr>
        <w:t>tərəfindən təqdim olunan  e-xidmətlər</w:t>
      </w:r>
      <w:r w:rsidR="00D33A4C">
        <w:rPr>
          <w:lang w:val="az-Latn-AZ"/>
        </w:rPr>
        <w:t>in</w:t>
      </w:r>
      <w:r w:rsidR="00FF17C5" w:rsidRPr="00D33A4C">
        <w:rPr>
          <w:lang w:val="az-Latn-AZ"/>
        </w:rPr>
        <w:t xml:space="preserve"> siyahısından </w:t>
      </w:r>
      <w:r w:rsidR="00FF17C5" w:rsidRPr="00D33A4C">
        <w:rPr>
          <w:i/>
          <w:lang w:val="az-Latn-AZ"/>
        </w:rPr>
        <w:t>“</w:t>
      </w:r>
      <w:r w:rsidR="00FF17C5" w:rsidRPr="00D33A4C">
        <w:rPr>
          <w:bCs/>
          <w:i/>
          <w:shd w:val="clear" w:color="auto" w:fill="FFFFFF"/>
          <w:lang w:val="az-Latn-AZ"/>
        </w:rPr>
        <w:t>İcra qurumları və onlar tərəfindən hərraca çıxarılan əmlaklar, eləcə də dəyəri 500 manatdan artıq olmayan daşınar əmlakın satışı üzrə ticarət şəbəkələri haqqında məlumatın verilməsi</w:t>
      </w:r>
      <w:r w:rsidR="00FF17C5" w:rsidRPr="00D33A4C">
        <w:rPr>
          <w:i/>
          <w:lang w:val="az-Latn-AZ"/>
        </w:rPr>
        <w:t>”</w:t>
      </w:r>
      <w:r w:rsidR="00FF17C5" w:rsidRPr="00D33A4C">
        <w:rPr>
          <w:lang w:val="az-Latn-AZ"/>
        </w:rPr>
        <w:t xml:space="preserve">  xidmətini seçməlisiniz.</w:t>
      </w:r>
    </w:p>
    <w:p w:rsidR="00FF17C5" w:rsidRPr="00D33A4C" w:rsidRDefault="00FF17C5" w:rsidP="00D33A4C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FF17C5" w:rsidRPr="00D33A4C" w:rsidRDefault="00FF17C5" w:rsidP="00FF17C5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D33A4C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4918710" cy="3586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358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C5" w:rsidRPr="00D33A4C" w:rsidRDefault="00FF17C5" w:rsidP="00FF17C5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FF17C5" w:rsidRPr="00D33A4C" w:rsidRDefault="00FF17C5" w:rsidP="00FF17C5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right="375"/>
        <w:rPr>
          <w:rFonts w:ascii="Times New Roman" w:hAnsi="Times New Roman" w:cs="Times New Roman"/>
          <w:b w:val="0"/>
          <w:i w:val="0"/>
          <w:color w:val="auto"/>
          <w:lang w:val="az-Latn-AZ"/>
        </w:rPr>
      </w:pPr>
      <w:r w:rsidRP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Açılan pəncərədə </w:t>
      </w:r>
      <w:r w:rsidR="009030BF" w:rsidRP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>sizi maraqlandıran seçimi etdikdə</w:t>
      </w:r>
      <w:r w:rsidR="00B92C30" w:rsidRP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>n sonra lazım</w:t>
      </w:r>
      <w:r w:rsid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>i</w:t>
      </w:r>
      <w:r w:rsidR="00B92C30" w:rsidRP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 informasiya monitorda görünəcək</w:t>
      </w:r>
      <w:r w:rsidR="009030BF" w:rsidRPr="00D33A4C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. </w:t>
      </w:r>
    </w:p>
    <w:p w:rsidR="009030BF" w:rsidRPr="00D33A4C" w:rsidRDefault="009030BF" w:rsidP="009030BF">
      <w:pPr>
        <w:rPr>
          <w:lang w:val="az-Latn-AZ"/>
        </w:rPr>
      </w:pPr>
      <w:r w:rsidRPr="00D33A4C">
        <w:rPr>
          <w:noProof/>
          <w:lang w:val="ru-RU" w:eastAsia="ru-RU"/>
        </w:rPr>
        <w:lastRenderedPageBreak/>
        <w:drawing>
          <wp:inline distT="0" distB="0" distL="0" distR="0">
            <wp:extent cx="4984546" cy="2206581"/>
            <wp:effectExtent l="19050" t="0" r="655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33" cy="22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BF" w:rsidRPr="00D33A4C" w:rsidRDefault="009030BF" w:rsidP="009030BF">
      <w:pPr>
        <w:jc w:val="both"/>
        <w:rPr>
          <w:lang w:val="az-Latn-AZ"/>
        </w:rPr>
      </w:pPr>
    </w:p>
    <w:p w:rsidR="009030BF" w:rsidRPr="00D33A4C" w:rsidRDefault="009030BF" w:rsidP="009030BF">
      <w:pPr>
        <w:jc w:val="both"/>
        <w:rPr>
          <w:lang w:val="az-Latn-AZ"/>
        </w:rPr>
      </w:pPr>
      <w:r w:rsidRPr="00D33A4C">
        <w:rPr>
          <w:lang w:val="az-Latn-AZ"/>
        </w:rPr>
        <w:t>Bu xidmət vasitəsilə əldə etdiyiniz məlumatları PDF formatında kompüterinizin yaddaşında saxlaya və çap edə bilərsiniz.</w:t>
      </w: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b/>
          <w:lang w:val="az-Latn-AZ"/>
        </w:rPr>
      </w:pPr>
    </w:p>
    <w:p w:rsidR="00FF17C5" w:rsidRPr="00D33A4C" w:rsidRDefault="00FF17C5" w:rsidP="00FF17C5">
      <w:pPr>
        <w:jc w:val="both"/>
        <w:rPr>
          <w:lang w:val="az-Latn-AZ"/>
        </w:rPr>
      </w:pPr>
    </w:p>
    <w:p w:rsidR="00FF17C5" w:rsidRPr="00D33A4C" w:rsidRDefault="00FF17C5" w:rsidP="00FF17C5">
      <w:pPr>
        <w:ind w:firstLine="708"/>
        <w:jc w:val="both"/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rPr>
          <w:rFonts w:ascii="Times New Roman" w:hAnsi="Times New Roman" w:cs="Times New Roman"/>
          <w:color w:val="auto"/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FF17C5" w:rsidRPr="00D33A4C" w:rsidRDefault="00FF17C5" w:rsidP="00FF17C5">
      <w:pPr>
        <w:rPr>
          <w:lang w:val="az-Latn-AZ"/>
        </w:rPr>
      </w:pPr>
    </w:p>
    <w:p w:rsidR="00376FDC" w:rsidRPr="00D33A4C" w:rsidRDefault="00376FDC">
      <w:pPr>
        <w:rPr>
          <w:lang w:val="az-Latn-AZ"/>
        </w:rPr>
      </w:pPr>
    </w:p>
    <w:sectPr w:rsidR="00376FDC" w:rsidRPr="00D33A4C" w:rsidSect="00A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7C5"/>
    <w:rsid w:val="00376FDC"/>
    <w:rsid w:val="009030BF"/>
    <w:rsid w:val="00B315AD"/>
    <w:rsid w:val="00B92C30"/>
    <w:rsid w:val="00D33A4C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FF17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F17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7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F1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3">
    <w:name w:val="Hyperlink"/>
    <w:uiPriority w:val="99"/>
    <w:unhideWhenUsed/>
    <w:rsid w:val="00FF17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17C5"/>
  </w:style>
  <w:style w:type="paragraph" w:styleId="a4">
    <w:name w:val="Balloon Text"/>
    <w:basedOn w:val="a"/>
    <w:link w:val="a5"/>
    <w:uiPriority w:val="99"/>
    <w:semiHidden/>
    <w:unhideWhenUsed/>
    <w:rsid w:val="00FF1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7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-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2014-07-15T04:26:00Z</dcterms:created>
  <dcterms:modified xsi:type="dcterms:W3CDTF">2014-07-16T04:21:00Z</dcterms:modified>
</cp:coreProperties>
</file>